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a1d43ee2674005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52330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DJEČJI VRTIĆ BUDINŠČINA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21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238.962,01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292.288,90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122,3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200.905,29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293.288,86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146,0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POSLOVANJA (šifre Z005-6)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999,96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410,23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PRIHODA OD NEFINANCIJSKE IMOVINE (šifre 7-4,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X002, 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410,23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I PRIMITAKA (šifre Y345-X678)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999,96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Ukupni prihodi i primici Dječjeg vrtića Budinščina u prvoj polovici 2026. godini iznose 292.288,90 eura, što predstavlja povećanje od 22,3 % u odnosu na prethodno promatrnao razdoblje. Prihodi se ostvareni sufinanciranjem boravka djece od strane roditelja, Općine Hrašćine, Grada Varaždina, Grada Zlatara i Općine Budinščine, kao i sredstvima osnivača namijenjenima za isplatu plaća zaposlenika. Glavni razlog rasta prihoda je povećanje ekonomske cijene boravka u redovitom programu vrtića na početku pedagoške godine.</w:t>
      </w:r>
    </w:p>
    <w:p>
      <w:r>
        <w:t xml:space="preserve">Ukupni rashodi i izdaci u prvoj polovici 2026.  godini iznose 293.288,86 eura, što je 45 % više u odnosu na prethodno promatrano razdoblje. Do povećanja rashoda došlo je zbog rasta materijalnih troškova zaposlenika, zapošljavanja pedagoginje na pola radnog vremena, zapošljavanja zamjena za vrijeme bolovanja i plaćenog dopusta trudne radnice, povećanja osnovice za obračun plaća, rasta cijena materijala i usluga tekućeg i investicijskog održavanja.</w:t>
      </w:r>
    </w:p>
    <w:p>
      <w:r>
        <w:t xml:space="preserve">Manjak prihoda i primitaka poslovanja posljedica je činjenice da se rashodi evidentiraju u razdobljima na koja se odnose, dok se prihodi knjiže tek u trenutku njihove naplate.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pomoći proračunskim korisnicima iz proračuna koji im nije nadležan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14.804,36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6.952,07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47,0</w:t>
            </w:r>
          </w:p>
        </w:tc>
      </w:tr>
    </w:tbl>
    <w:p>
      <w:pPr>
        <w:spacing w:before="0" w:after="0"/>
      </w:pPr>
    </w:p>
    <w:p>
      <w:r>
        <w:t xml:space="preserve">U prvoj polovici 2026. godine tekuće pomoći proračunskim korisnicima iz proračuna koji im nije nadležan smanjile su se u odnosu na isto razdoblje prethodne godine zbog manjeg broja upisane djece s područja drugih općina i gradova.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iz nadležnog proračuna za financiranje rashoda poslovanja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159.947,00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217.128,62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135,8</w:t>
            </w:r>
          </w:p>
        </w:tc>
      </w:tr>
    </w:tbl>
    <w:p>
      <w:pPr>
        <w:spacing w:before="0" w:after="0"/>
      </w:pPr>
    </w:p>
    <w:p>
      <w:r>
        <w:t xml:space="preserve">Prihodi iz nadležnog proračuna za financiranje rashoda poslovanja u promatranom razdoblju iznose 217.128,82 eura, što predstavlja povećanje od 35,8 % u odnosu na isto izvještajno razdoblje prethodne godine. Rast prihoda rezultat je povećanja cijene redovitog programa, što je dovelo do većih iznosa sufinanciranja boravka djece od strane osnivača, kao i povećanja rashoda za plaće zaposlenika zbog novih zapošljavanja.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Plaće za redovan rad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139.879,09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201.577,21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144,1</w:t>
            </w:r>
          </w:p>
        </w:tc>
      </w:tr>
    </w:tbl>
    <w:p>
      <w:pPr>
        <w:spacing w:before="0" w:after="0"/>
      </w:pPr>
    </w:p>
    <w:p>
      <w:r>
        <w:t xml:space="preserve">Rashodi za plaće za redovan rad veći su za 44 % u odnosu na isto izvještajno razdoblje prethodne godine. Povećanje je rezultat rasta osnovice za obračun plaća te novih zapošljavanja, uključujući zapošljavanje logopeda i radnika zaposlenih kao zamjene za vrijeme bolovanja i plaćenog dopusta trudne radnice.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Službena putovanja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203,00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646,00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318,2</w:t>
            </w:r>
          </w:p>
        </w:tc>
      </w:tr>
    </w:tbl>
    <w:p>
      <w:pPr>
        <w:spacing w:before="0" w:after="0"/>
      </w:pPr>
    </w:p>
    <w:p>
      <w:r>
        <w:t xml:space="preserve">Rashodi za službena putovanja viši su u odnosu na prethodno promatrano razdoblje zbog povećanog sudjelovanja zaposlenika na stručnim skupovima, seminarima i drugim edukativnim događanjima izvan mjesta rada.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Uredski materijal i ostali materijalni rashodi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2.827,43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5.264,87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186,2</w:t>
            </w:r>
          </w:p>
        </w:tc>
      </w:tr>
    </w:tbl>
    <w:p>
      <w:pPr>
        <w:spacing w:before="0" w:after="0"/>
      </w:pPr>
    </w:p>
    <w:p>
      <w:r>
        <w:t xml:space="preserve">Rashodi za uredski materijal povećani su u odnosu na isto razdoblje prethodne godine zbog nabave tonera za pisač te nabave potrošnog materijala za skupine.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Usluge telefona, interneta, pošte i prijevoza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346,67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618,00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178,3</w:t>
            </w:r>
          </w:p>
        </w:tc>
      </w:tr>
    </w:tbl>
    <w:p>
      <w:pPr>
        <w:spacing w:before="0" w:after="0"/>
      </w:pPr>
    </w:p>
    <w:p>
      <w:r>
        <w:t xml:space="preserve">Rashodi za usluge telefona i interneta povećani su u promatranom razdoblju zbog nabave pet mobilnih uređaja za ravnatelja i svaku skupinu.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Usluge tekućeg i investicijskog održavanja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1.662,63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2.346,25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141,1</w:t>
            </w:r>
          </w:p>
        </w:tc>
      </w:tr>
    </w:tbl>
    <w:p>
      <w:pPr>
        <w:spacing w:before="0" w:after="0"/>
      </w:pPr>
    </w:p>
    <w:p>
      <w:r>
        <w:t xml:space="preserve">Rashodi za usluge tekućeg i investicijskog održavanja veći su u odnosu na isto izvještajno razdoblje prethodne godine zbog popravka vodenog grijača na sustavu grijanja. Također, u promatranom razdoblju nastali su rashodi za ispitivanje hidrantske mreže i električnih instalacija.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Intelektualne i osobne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612,10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U prvoj polovici 2026. godine povećani su rashodi za intelektualne i osobne usluge zbog angažiranja psihologa iz vanjske ustanove radi provođenja testiranja darovite djece.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587,46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2.472,96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421,0</w:t>
            </w:r>
          </w:p>
        </w:tc>
      </w:tr>
    </w:tbl>
    <w:p>
      <w:pPr>
        <w:spacing w:before="0" w:after="0"/>
      </w:pPr>
    </w:p>
    <w:p>
      <w:r>
        <w:t xml:space="preserve">Rashodi za ostale usluge značajno su povećani zbog troškova ispitivanja vodoopskrbne mreže te visokih troškova objave natječaja za izbor i imenovanje ravnatelja u Narodnim novinama.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za rad predstavničkih i izvršnih tijela, povjerenstava i slično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634,25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2.015,79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317,8</w:t>
            </w:r>
          </w:p>
        </w:tc>
      </w:tr>
    </w:tbl>
    <w:p>
      <w:pPr>
        <w:spacing w:before="0" w:after="0"/>
      </w:pPr>
    </w:p>
    <w:p>
      <w:r>
        <w:t xml:space="preserve">Rashodi za naknade članovima predstavničkih i izvršnih tijela te povjerenstava značajno su povećani u odnosu na prethodno izvještajno razdoblje zbog većeg broja sjednica održanih uživo te povećanja naknade članovima Upravnog vijeća s 26,55 eura na 30,00 eura neto.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Pristojbe i naknade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2.434,51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U 2026. godini plaćena je naknada zbog nezapošljavanja osobe s invaliditetom, budući da je vrtić tijekom prethodne godine imao više od 20 zaposlenih. Osim tekućih troškova, podmireni su troškovi iz prethodne godine.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Obračunati prihodi poslovanja - nenaplaćeni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1.352,80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2.905,28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214,8</w:t>
            </w:r>
          </w:p>
        </w:tc>
      </w:tr>
    </w:tbl>
    <w:p>
      <w:pPr>
        <w:spacing w:before="0" w:after="0"/>
      </w:pPr>
    </w:p>
    <w:p>
      <w:r>
        <w:t xml:space="preserve">Obračunati prihodi poslovanja – nenaplaćeni odnose se na potraživanja evidentirana na dan 30. lipnja 2026. godine, a obuhvaćaju izlazne račune za sufinanciranje programa od strane roditelja koji do dospijeća nisu podmireni.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Manjak prihoda i primitaka za pokriće u sljedećem razdoblju (šifre Y005 + '9222-9221' - X005 - '9221-9222' 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Y006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37.424,11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Prva polovica 2026. godine završena je s manjkom prihoda i primitaka u iznosu od 37.424,11 eura. Manjak je nastao zbog razlike u vremenu evidentiranja prihoda i rashoda. Rashodi se evidentiraju u razdoblju na koje se odnose, uključujući plaće za lipanj koje se isplaćuju u srpnju.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Prosječan broj zaposlenih kod korisnika na osnovi stanja na početku i na kraju izvještajnog razdoblja (cijeli broj)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Z007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21,00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109,5</w:t>
            </w:r>
          </w:p>
        </w:tc>
      </w:tr>
    </w:tbl>
    <w:p>
      <w:pPr>
        <w:spacing w:before="0" w:after="0"/>
      </w:pPr>
    </w:p>
    <w:p>
      <w:r>
        <w:t xml:space="preserve">U promatranom izvještajnom razdoblju evidentiran je veći broj zaposlenih na početku i na kraju razdoblja u odnosu na isto razdoblje prethodne godine zbog zapošljavanja stručnog suradnika na puno radno vrijeme te zapošljavanja zamjena za zaposlenike na bolovanju.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U promatranom razdoblju nije bilo dospjelih nepodmirenih obveza, odnosno sve su obveze podmirivane u rokovima dospijeća.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nedospjelih obveza na kraju izvještajnog razdoblja (šifre V010 + ND23 + ND24 + 'ND dio 25,26' + ND27)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42.496,80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Nedospjele obveze evidentirane su pod šifrom V009 u ukupnom iznosu od 42.496,80 eura, a najveći dio obveza odnosi se na obveze za zaposlene.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65845d6bf744181" /></Relationships>
</file>